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Requesón estilo Parral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Requeson 250 g</w:t>
      </w:r>
      <w:r/>
    </w:p>
    <w:p>
      <w:pPr>
        <w:numPr>
          <w:ilvl w:val="0"/>
          <w:numId w:val="1"/>
        </w:numPr>
      </w:pPr>
      <w:r>
        <w:t>Cebolla ½ Unidades</w:t>
      </w:r>
      <w:r/>
    </w:p>
    <w:p>
      <w:pPr>
        <w:numPr>
          <w:ilvl w:val="0"/>
          <w:numId w:val="1"/>
        </w:numPr>
      </w:pPr>
      <w:r>
        <w:t>Tomate 2 Unodades</w:t>
      </w:r>
      <w:r/>
    </w:p>
    <w:p>
      <w:pPr>
        <w:numPr>
          <w:ilvl w:val="0"/>
          <w:numId w:val="1"/>
        </w:numPr>
      </w:pPr>
      <w:r>
        <w:t>Chile manzano 1 Unidades</w:t>
      </w:r>
      <w:r/>
    </w:p>
    <w:p>
      <w:pPr>
        <w:numPr>
          <w:ilvl w:val="0"/>
          <w:numId w:val="1"/>
        </w:numPr>
      </w:pPr>
      <w:r>
        <w:t>Cilantro 1 Ramillete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Pimienta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