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Calamares marsellesa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de Cayena 1/2 cdita.</w:t>
      </w:r>
      <w:r/>
    </w:p>
    <w:p>
      <w:pPr>
        <w:numPr>
          <w:ilvl w:val="0"/>
          <w:numId w:val="1"/>
        </w:numPr>
      </w:pPr>
      <w:r>
        <w:t>Miga de pan fresco 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Calamares 2 Unidades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/>
      <w:r>
        <w:rPr>
          <w:b/>
          <w:sz w:val="52"/>
          <w:szCs w:val="52"/>
        </w:rPr>
        <w:t>Jugo de cocción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picado 1/2 cdita.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Caldo De Ave 300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Piel de tomate frita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